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Curated Compendium of Authoritative, Open-Access Medical Literature: Clinical Guidelines, Public Health Reports, Research, and Textbooks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Foundational Clinical Practice Guidelines: The Evolving Paradigm of Type 2 Diabetes Mellitus Management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management of type 2 diabetes mellitus (T2DM) has undergone a profound evolution, shifting from a historically glucocentric model, which prioritized glycemic control as the principal therapeutic goal, to a contemporary, holistic paradigm. This modern approach is characterized by its emphasis on patient-centered care, aggressive cardiovascular and renal risk reduction, the integration of advanced technology, and a growing recognition of the sociocultural determinants of health in shaping treatment strategies. The clinical practice guidelines issued by leading global medical authorities are not merely prescriptive documents; they are dynamic reflections of a deeper, more nuanced understanding of T2DM as a complex, multi-systemic disease. They codify the evidence that has reshaped clinical priorities, moving beyond the singular focus on glycosylated hemoglobin (HbA1c) to embrace a comprehensive strategy aimed at preventing the most devastating complications of the disease and improving overall quality of life. This section presents and analyzes the foremost clinical guidelines, deconstructing their core philosophies and highlighting their collective role in defining the current standard of care.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Comparative Overview of Major T2DM Clinical Practice Guidelines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Issuing Body &amp; 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Guideline Title &amp; Latest 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Philosophy/Key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Notable Features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American Diabetes Association (ADA)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Standards of Care in Diabetes—2024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Comprehensive, annually updated global benchmark for evidence-based diabetes care.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Covers prevention, diagnosis, and treatment across the lifespan. Includes detailed recommendations for managing comorbidities. Published in </w:t>
            </w:r>
            <w:r w:rsidDel="00000000" w:rsidR="00000000" w:rsidRPr="00000000">
              <w:rPr>
                <w:rFonts w:ascii="Google Sans Text" w:cs="Google Sans Text" w:eastAsia="Google Sans Text" w:hAnsi="Google Sans Text"/>
                <w:i w:val="1"/>
                <w:color w:val="1b1c1d"/>
                <w:shd w:fill="auto" w:val="clear"/>
                <w:rtl w:val="0"/>
              </w:rPr>
              <w:t xml:space="preserve">Diabetes Care</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American Association of Clinical Endocrinology (AACE)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2023 AACE Consensus Statement: Comprehensive Type 2 Diabetes Management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Algorithm-driven, endocrinology-focused clinical decision support designed for point-of-care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concise visual guidance to assist clinical decision-making. Emphasizes management of T2DM and related comorbidities, with a focus on advanced technology and transcultural care.</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Diabetes 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Clinical Practice Guidelines for the Prevention and Management of Diabetes in Canada</w:t>
            </w:r>
            <w:r w:rsidDel="00000000" w:rsidR="00000000" w:rsidRPr="00000000">
              <w:rPr>
                <w:rFonts w:ascii="Google Sans Text" w:cs="Google Sans Text" w:eastAsia="Google Sans Text" w:hAnsi="Google Sans Text"/>
                <w:color w:val="1b1c1d"/>
                <w:shd w:fill="auto" w:val="clear"/>
                <w:rtl w:val="0"/>
              </w:rPr>
              <w:t xml:space="preserve"> (with 2024 updates)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Extensive, chapter-based deep-dive into specific facets of diabetes care, with a focus on diverse populations.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Features dedicated chapters on unique topics such as "Type 2 Diabetes and Indigenous Peoples" and "Remission of Type 2 Diabetes." Provides detailed guidance on nutrition, physical activity, and complex comorbidities.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 Department of Veterans Affairs / Department of Defense (VA/DOD)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Management of Type 2 Diabetes Mellitus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Highly structured, implementable guideline for large, integrated healthcare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Organized into two core modules (T2DM Management; Self-Management Education &amp; Support) with 26 evidence-based recommendations. Includes extensive patient-facing educational materials to promote engagement and self-care.</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bl>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American Diabetes Association (ADA) Standards of Care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American Diabetes Association's </w:t>
      </w:r>
      <w:r w:rsidDel="00000000" w:rsidR="00000000" w:rsidRPr="00000000">
        <w:rPr>
          <w:rFonts w:ascii="Google Sans Text" w:cs="Google Sans Text" w:eastAsia="Google Sans Text" w:hAnsi="Google Sans Text"/>
          <w:i w:val="1"/>
          <w:color w:val="1b1c1d"/>
          <w:rtl w:val="0"/>
        </w:rPr>
        <w:t xml:space="preserve">Standards of Care in Diabetes</w:t>
      </w:r>
      <w:r w:rsidDel="00000000" w:rsidR="00000000" w:rsidRPr="00000000">
        <w:rPr>
          <w:rFonts w:ascii="Google Sans Text" w:cs="Google Sans Text" w:eastAsia="Google Sans Text" w:hAnsi="Google Sans Text"/>
          <w:color w:val="1b1c1d"/>
          <w:rtl w:val="0"/>
        </w:rPr>
        <w:t xml:space="preserve"> is widely regarded as the global benchmark for diabetes management, providing a comprehensive and meticulously updated set of clinical practice recommendations.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Published annually as a supplement to the journal</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Diabetes Care</w:t>
      </w:r>
      <w:r w:rsidDel="00000000" w:rsidR="00000000" w:rsidRPr="00000000">
        <w:rPr>
          <w:rFonts w:ascii="Google Sans Text" w:cs="Google Sans Text" w:eastAsia="Google Sans Text" w:hAnsi="Google Sans Text"/>
          <w:color w:val="1b1c1d"/>
          <w:rtl w:val="0"/>
        </w:rPr>
        <w:t xml:space="preserve">, this document serves as a foundational resource for clinicians, researchers, and policymakers worldwide.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scope is exhaustive, covering the full spectrum of diabetes care from prevention strategies for at-risk individuals to the diagnosis and management of T2DM and its myriad complications across the patient's lifespan.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Standards of Care</w:t>
      </w:r>
      <w:r w:rsidDel="00000000" w:rsidR="00000000" w:rsidRPr="00000000">
        <w:rPr>
          <w:rFonts w:ascii="Google Sans Text" w:cs="Google Sans Text" w:eastAsia="Google Sans Text" w:hAnsi="Google Sans Text"/>
          <w:color w:val="1b1c1d"/>
          <w:rtl w:val="0"/>
        </w:rPr>
        <w:t xml:space="preserve"> functions as a living document, with a transparent, evidence-based grading system for its recommendations. The ADA's Professional Practice Committee conducts an extensive annual review of the clinical literature, ensuring that the guidelines reflect the most current and robust scientific evidence.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iterative process allows for the rapid incorporation of new findings, such as the results of major clinical trials or regulatory changes, which can be updated online even more frequently than the annual publication cycle.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document's detailed sections provide specific guidance on glycemic targets, pharmacologic approaches, and the management of comorbidities like hypertension and dyslipidemia, which are critical components of a multifactorial treatment strategy.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addresses the fundamental aspects of diagnosis, such as the criteria for fasting plasma glucose and</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HbA1c levels, and outlines risk factors that necessitate screening, including age, obesity, and family history.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By providing this all-encompassing framework, the ADA establishes a universal standard that guides clinical practice on a global scale.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American Association of Clinical Endocrinology (AACE) Consensus Statements and Algorithms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American Association of Clinical Endocrinology offers a distinct and highly practical approach to T2DM management, characterized by its visually driven, algorithm-based guidance designed for rapid implementation at the point of care.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centerpiece of this approach is the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Comprehensive Type 2 Diabetes Management Algorithm</w:t>
      </w:r>
      <w:r w:rsidDel="00000000" w:rsidR="00000000" w:rsidRPr="00000000">
        <w:rPr>
          <w:rFonts w:ascii="Google Sans Text" w:cs="Google Sans Text" w:eastAsia="Google Sans Text" w:hAnsi="Google Sans Text"/>
          <w:color w:val="1b1c1d"/>
          <w:rtl w:val="0"/>
        </w:rPr>
        <w:t xml:space="preserve">, a consensus statement that translates complex evidence into a clear, actionable pathway for clinicians. This format is particularly effective in helping healthcare providers navigate the increasingly complex decisions surrounding pharmacotherapy, taking into account patient characteristics, comorbidities, and treatment goals.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its core algorithm, AACE provides forward-looking clinical practice guidelines and position statements that address key frontiers in modern diabetes care. The guideline on the "Use of Advanced Technology in the Management of Persons with Diabetes Mellitus" provides crucial recommendations on the efficacy, safety, and implementation of devices such as continuous glucose monitors and insulin pumps, recognizing their potential to improve glycemic control and quality of life.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Furthermore, AACE's "Position Statement on Transcultural Diabetes Care" underscores the critical importance of sociocultural competence in managing a disease that disproportionately affects various ethnic and racial groups. It advocates for culturally appropriate language, nutritional messaging, and clinic structures that address health literacy and community-specific needs, positioning personalized medicine within a broader sociocultural context.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dual focus on cutting-edge technology and patient-centered, culturally sensitive care distinguishes the AACE's contribution to the field.</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Diabetes Canada Clinical Practice Guidelines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Diabetes Canada Clinical Practice Guidelines provide an exceptionally detailed and comprehensive resource, organized into an extensive, chapter-based structure that allows for in-depth exploration of specific clinical topics.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modular format makes the guidelines an invaluable reference for clinicians or researchers seeking granular information on a particular aspect of diabetes management. The breadth of topics is remarkable, ranging from foundational subjects like nutrition therapy and physical activity to the nuanced management of hyperglycemic emergencies, in-hospital care, and mental health in individuals with diabetes.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key strength of the Diabetes Canada guidelines is their dedicated focus on health equity and emerging areas of therapeutic interest. The inclusion of a specific chapter on "Type 2 Diabetes and Indigenous Peoples" acknowledges the unique challenges and health disparities faced by this population and provides tailored recommendations.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Similarly, the addition of chapters on "Remission of Type 2 Diabetes" and an accompanying "User's Guide" reflects the growing body of evidence that, for some patients, remission is an achievable therapeutic goal through intensive lifestyle interventions or bariatric surgery. This positions the guidelines at the forefront of evolving treatment paradigms.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comprehensive coverage extends to complex comorbidities, with dedicated chapters on cardiovascular protection, chronic kidney disease, heart failure, and retinopathy, ensuring that clinicians have access to detailed, evidence-based guidance for managing the full spectrum of diabetes-related complications.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VA/DOD Management of Type 2 Diabetes Mellitus Guideline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clinical practice guideline for the Management of Type 2 Diabetes Mellitus, jointly developed by the U.S. Department of Veterans Affairs (VA) and the Department of Defense (DOD), is a model of clarity and implementability, designed for use within large, integrated healthcare systems.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highly structured format is built around two core modules: "Module A - T2 DM Management" and "Module B - Self-Management Education &amp; Support." These modules are supported by 26 distinct, evidence-based recommendations and two decision algorithms, creating a clear and unambiguous framework for practitioners.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systematic approach is intended to standardize care, reduce practice variability, and ultimately improve patient outcomes across the vast VA and DOD health networks.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standout feature of the VA/DOD guideline is its profound emphasis on patient engagement and self-management. The guideline is accompanied by an extensive suite of patient-facing educational materials, including a "Diabetes Self-Care Guide," a "Diabetes Placemat" for nutritional guidance, and a "DM Survival Skills Guide".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commitment to patient education recognizes that successful long-term diabetes management is a partnership between the patient and the healthcare team. By providing accessible, easy-to-understand tools, the VA/DOD empowers patients to take an active role in their own care, a cornerstone of the chronic care model. While the guideline explicitly states that it is a tool to assist, not replace, clinical judgment, its structured nature and robust educational components make it a powerful resource for delivering consistent, high-quality diabetes care on a large scale.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analysis of these leading guidelines reveals a fundamental and ongoing revolution in the conceptualization and treatment of T2DM. The historical focus on glycemic control, where achieving a target HbA1c was the primary measure of success, has been superseded by a more sophisticated, risk-based strategy.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paradigm shift is not arbitrary but is driven by a powerful accumulation of evidence from large-scale cardiovascular outcome trials (CVOTs). These trials, designed to test the safety of newer classes of diabetes medications, yielded the landmark discovery that certain agents—specifically, sodium-glucose cotransporter-2 (SGLT-2) inhibitors and glucagon-like peptide-1 (GLP-1) receptor agonists—provide significant protection against major adverse cardiovascular events, hospitalization for heart failure, and the progression of chronic kidney disease.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Consequently, the treatment algorithms presented in the guidelines from the ADA, AACE, and Diabetes Canada have been fundamentally reordered.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patients with established or at high risk for atherosclerotic cardiovascular disease (ASCVD), heart failure, or chronic kidney disease, these newer agents are now recommended as first-line or early add-on therapy, often irrespective of the patient's baseline or target</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HbA1c.</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represents a seismic change in clinical logic: the choice of medication is no longer dictated solely by its glucose-lowering potency but by its ability to provide direct organ protection. This evolution effectively reframes T2DM as a cardiovascular risk equivalent, demanding a proactive, cardio-renal-metabolic approach to management from the moment of diagnosis.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rapid evolution and increasing complexity of these guidelines create a formidable challenge: a growing "implementation gap" between the sophisticated, evidence-based recommendations and the capacity of healthcare systems, particularly in primary care, to execute them consistently. A clinician must now simultaneously consider a patient's glycemic status, ASCVD risk, heart failure status, kidney function, body weight, hypoglycemia risk, medication cost, and personal preferences to craft an optimal, individualized treatment plan.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multi-dimensional decision-making process can be overwhelming in a time-constrained clinical setting. The development of simplified visual algorithms by AACE, "User's Guides" by Diabetes Canada, and the highly structured, modular format of the VA/DOD guideline are all direct responses to this challenge.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They represent attempts to create cognitive aids and standardized pathways to facilitate the translation of complex evidence into routine practice. This suggests that the next frontier in improving diabetes care lies not only in discovering new evidence but in developing effective systems, tools, and educational strategies to bridge this implementation gap and ensure that all patients benefit from the remarkable advances in the field.</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Authoritative Public Health Intelligence: Air Pollution as a Global Health Crisis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profound epidemiological transition is underway, elevating environmental risk factors from a secondary concern to a primary driver of global morbidity and mortality. Official reports from the World Health Organization (WHO) and the U.S. Centers for Disease Control and Prevention (CDC) authoritatively frame air pollution as a first-order global health threat, placing its impact on par with established risks such as tobacco use and unhealthy diets. These agencies play a critical role in synthesizing vast amounts of scientific evidence to establish global standards, communicate risks to the public and policymakers, and guide the international response to this pervasive environmental hazard. Their reports are not merely academic exercises; they are foundational documents that quantify the burden of disease, define safe exposure limits, and articulate the urgent need for policy action to protect human health.</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WHO Global Air Quality Guideline (AQG) Levels (2021 Update)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Pollutant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Averaging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2021 AQG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Health Effect Driving the Guideline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Particulate Matter (PM2.5​)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Annual mean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µg/m³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All-cause and cardio-respiratory mortality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Particulate Matter (PM2.5​)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24-hour mean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 µg/m³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Short-term increases in mortality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Particulate Matter (PM10​)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Annual mean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 µg/m³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All-cause and cardio-respiratory mortality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Particulate Matter (PM10​)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24-hour mean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45 µg/m³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Short-term increases in mortality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Ozone (O3​)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Peak-season 8-hour mean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 µg/m³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Respiratory mortality and morbidity (asthma)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Nitrogen Dioxide (NO2​)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Annual mean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µg/m³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Respiratory mortality and asthma incidence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Nitrogen Dioxide (NO2​)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24-hour mean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 µg/m³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Asthma exacerbation and respiratory admissions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Sulfur Dioxide (SO2​)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24-hour mean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 µg/m³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Respiratory morbidity (asthma exacerbation)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Carbon Monoxide (CO)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24-hour mean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mg/m³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Ischemic heart disease morbidity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Data sourced from the WHO global air quality guidelines, 2021.</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bl>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World Health Organization (WHO): Setting the Global Standard</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World Health Organization, as the leading global public health authority, plays the central role in defining the health risks of air pollution and establishing the benchmarks for protective action. The landmark 2021 publication of the </w:t>
      </w:r>
      <w:r w:rsidDel="00000000" w:rsidR="00000000" w:rsidRPr="00000000">
        <w:rPr>
          <w:rFonts w:ascii="Google Sans Text" w:cs="Google Sans Text" w:eastAsia="Google Sans Text" w:hAnsi="Google Sans Text"/>
          <w:i w:val="1"/>
          <w:color w:val="1b1c1d"/>
          <w:rtl w:val="0"/>
        </w:rPr>
        <w:t xml:space="preserve">WHO Global Air Quality Guidelines</w:t>
      </w:r>
      <w:r w:rsidDel="00000000" w:rsidR="00000000" w:rsidRPr="00000000">
        <w:rPr>
          <w:rFonts w:ascii="Google Sans Text" w:cs="Google Sans Text" w:eastAsia="Google Sans Text" w:hAnsi="Google Sans Text"/>
          <w:color w:val="1b1c1d"/>
          <w:rtl w:val="0"/>
        </w:rPr>
        <w:t xml:space="preserve"> represents a critical update to global standards, reflecting a powerful scientific consensus on the dangers of air pollution.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most significant feature of these updated guidelines is the substantial downward revision of the recommended air quality guideline (AQG) levels for key pollutants, including particulate matter (</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PM2.5​), nitrogen dioxide (NO2​), and ozone (O3​). This decision was based on a systematic review of the accumulated evidence from the 15 years prior, which provided a "much stronger body of evidence to show how air pollution affects different aspects of health at even lower concentrations than previously understood".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WHO frames these guidelines within a broader context of air pollution as a primary driver of the global noncommunicable disease (NCD) crisis. Official WHO communications estimate that exposure to ambient and household air pollution is responsible for nearly 7 million premature deaths each year, a staggering figure that accounts for more than 10% of all global deaths.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burden of disease attributable to air pollution is now considered to be on par with other major global health risks like unhealthy diets and tobacco smoking.</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WHO's strategic roadmaps and policy summaries are designed to empower the health sector to lead the response, advocating for clean air interventions and integrating air pollution control into broader strategies for NCD prevention and management.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Centers for Disease Control and Prevention (CDC): Risk Assessment and Communication</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Within the United States, the Centers for Disease Control and Prevention (CDC) is a key agency for assessing the health risks of air pollution and communicating this information to both professional and public audiences. The CDC's work provides the scientific foundation for public health action and personal protection. Foundational assessments, such as the </w:t>
      </w:r>
      <w:r w:rsidDel="00000000" w:rsidR="00000000" w:rsidRPr="00000000">
        <w:rPr>
          <w:rFonts w:ascii="Google Sans Text" w:cs="Google Sans Text" w:eastAsia="Google Sans Text" w:hAnsi="Google Sans Text"/>
          <w:i w:val="1"/>
          <w:color w:val="1b1c1d"/>
          <w:rtl w:val="0"/>
        </w:rPr>
        <w:t xml:space="preserve">Morbidity and Mortality Weekly Report (MMWR)</w:t>
      </w:r>
      <w:r w:rsidDel="00000000" w:rsidR="00000000" w:rsidRPr="00000000">
        <w:rPr>
          <w:rFonts w:ascii="Google Sans Text" w:cs="Google Sans Text" w:eastAsia="Google Sans Text" w:hAnsi="Google Sans Text"/>
          <w:color w:val="1b1c1d"/>
          <w:rtl w:val="0"/>
        </w:rPr>
        <w:t xml:space="preserve"> summary on the noncancer health risks of toxic air pollutants, have been instrumental in identifying the broad range of potential health effects.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report, summarizing a national study by the Environmental Protection Agency (EPA), concluded that combined exposures to multiple airborne pollutants may pose risks to the respiratory, neurologic, and reproductive systems, and may also cause adverse developmental effects, underscoring the multi-systemic nature of the threat.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major component of the CDC's mission is translating complex scientific data into actionable public health guidance. The agency provides extensive resources on how to use the Air Quality Index (AQI), a standardized tool that reports daily air quality.</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CDC educates the public and at-risk groups on how to interpret AQI values and take appropriate precautions, such as reducing strenuous outdoor activity on "Code Orange" days when pollution levels are high.</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agency also maintains dedicated resource pages that explicitly link air pollution exposure to the exacerbation of specific chronic conditions, including asthma, chronic obstructive pulmonary disease (COPD), heart disease, and stroke. This risk communication is vital for empowering individuals, especially those with pre-existing conditions, to manage their exposure and protect their health.</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official reports from these global public health bodies reveal a critical expansion in the scientific understanding of air pollution's health impacts, moving far beyond its traditional association with the lungs. It is now authoritatively classified as a systemic toxin that adversely affects nearly every organ system. While early assessments focused primarily on nonmalignant respiratory disease and cancer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WHO now states that a staggering 83% of premature deaths linked to air pollution are from NCDs such as ischemic heart disease and stroke, in addition to lung cancer and COPD.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signifies a monumental shift in attributing the cause of the world's leading killers. The evidence base, as cited by the WHO and supported by the broader research literature, continues to grow, with emerging links between air pollution exposure and a wider spectrum of conditions, including the onset of diabetes, impaired kidney function, cognitive decline, dementia, mental health disorders, and adverse pregnancy outcomes like low birth weight and premature birth.</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broadening spectrum of harm means that the total public health and economic burden of air pollution is far greater than previously calculated. It also necessitates a change in clinical practice, requiring specialists in cardiology, neurology, and endocrinology to recognize air pollution as a significant environmental risk factor for the diseases they manage.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WHO's 2021 update of the Air Quality Guidelines serves as a powerful illustration of the policy-science nexus in action. The decision to drastically lower the recommended limits for key pollutants was a direct and necessary policy response to the overwhelming weight of scientific evidence demonstrating harm at much lower concentrations than were previously considered safe. The "much stronger body of evidence" cited by the WHO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is the culmination of thousands of epidemiological and mechanistic studies published in the preceding decade and a half, of the type curated in the following section of this report. These studies consistently documented increased morbidity and mortality at pollution levels that were well within the bounds of the older, 2005 guidelines.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WHO's role was to systematically review this vast body of primary research and translate its findings into a clear, evidence-based policy instrument: the new, more stringent AQG levels. This process underscores that public health policy, at its best, is a dynamic and evolving field that must adapt to the frontiers of scientific discovery. The updated guidelines, in turn, become a potent advocacy tool, empowering public health officials, clinicians, and citizens to demand that their national and local air quality standards be aligned with the current scientific understanding of what is required to protect human health.</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Seminal Research Literature: Unraveling the Mechanisms of Air Pollution's Harm</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guidelines from public health agencies provide the authoritative "what" of air quality standards, the peer-reviewed research literature provides the essential "how" and "why." It is within these primary and review articles that the biological mechanisms of air pollution-induced disease are elucidated and the epidemiological links between exposure and specific health outcomes are rigorously established. This section presents a curated selection of high-impact, full-text review articles from PubMed Central, the U.S. National Institutes of Health's free digital repository of biomedical literature. These articles collectively form a part of the vast evidence base upon which the WHO and CDC guidelines are built, offering a granular view of the science that underpins global public health policy.</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Pathophysiological Mechanisms: Oxidative Stress and Systemic Inflammation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substantial body of research has converged on a central mechanistic explanation for how inhaled pollutants inflict damage throughout the body: the induction of oxidative stress and systemic inflammation.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primary culprits are fine particulate matter (</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PM2.5​; particles with a diameter less than 2.5 micrometers) and even smaller ultrafine particles. Due to their minuscule size, these particles can evade the natural filtering mechanisms of the upper airways.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They penetrate deep into the lungs, reaching the alveoli, where the gas exchange between the lungs and the blood occurs. From there, they can translocate directly into the systemic circulation.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Once in the bloodstream, these particles are not inert. They act as carriers for a variety of toxic compounds, including heavy metals and polycyclic aromatic hydrocarbons, which generate reactive oxygen species. This leads to a state of oxidative stress, a harmful imbalance that damages cells, proteins, and DNA. The body responds to this cellular injury by launching an inflammatory response. This is not a localized reaction confined to the lungs; it is a systemic cascade. Studies have shown that exposure to PM is associated with increased circulating levels of key inflammatory markers such as C-reactive protein (CRP), interleukin-6 (IL-6), and tumor necrosis factor-alpha (TNF-α).</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chronic, low-grade systemic inflammation is a well-established driver of atherosclerosis (the hardening and narrowing of arteries) and also promotes a pro-thrombotic state by activating coagulation pathways and platelets. This cascade provides the direct mechanistic link between inhaling polluted air and the subsequent development of cardiovascular events like heart attacks and strokes, which, as the WHO reports indicate, account for the majority of air pollution-related deaths.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Clinical and Epidemiological Evidence: The Link to Asthma and COPD</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epidemiological evidence linking air pollution to the incidence and exacerbation of chronic respiratory diseases is robust and consistent across numerous studies conducted in diverse populations and geographic settings.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Subjects with pre-existing chronic respiratory conditions, particularly asthma and chronic obstructive pulmonary disease (COPD), are especially vulnerable to the adverse effects of air pollutants. For these individuals, air pollution is not a distant or abstract risk but a potent and immediate trigger for acute exacerbations.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Multiple large-scale studies have demonstrated that short-term increases in the ambient concentrations of pollutants like particulate matter, ozone, and nitrogen dioxide are associated with a corresponding increase in respiratory symptoms, more frequent use of rescue medications, measurable decreases in lung function, and a higher rate of emergency department visits and hospitalizations for asthma and COPD.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Long-term exposure is associated with more insidious effects, including an increased risk for the initial development of asthma in children and an accelerated decline in lung function over time in adults, which is a hallmark of COPD development.</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global consensus from this body of research is unequivocal: air pollution is a major, modifiable risk factor that significantly increases both respiratory morbidity and mortality worldwide.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Critical Distinction: Ambient vs. Household Air Pollution (HAP)</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much public attention is focused on ambient (outdoor) air pollution from traffic and industry, an equally, if not more, devastating public health crisis stems from household air pollution (HAP). HAP is primarily caused by the incomplete combustion of solid fuels—such as wood, coal, animal dung, and crop waste—used for cooking and heating in simple stoves or open fires within poorly ventilated homes.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is a pervasive issue in many low- and middle-income countries (LMICs). The WHO estimates that HAP is responsible for over four million premature deaths annually, a staggering burden that is often overlooked in global health discourse.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HAP represents a profound issue of health equity, as it disproportionately affects the world's most vulnerable populations: women, who typically perform the cooking, and young children, who spend the most time indoors near the source of the emissions.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concentrations of pollutants inside these homes can be many times higher than the peak levels recorded in the most polluted cities. The health consequences are severe and span the entire lifespan. In-utero and early childhood exposure to HAP is linked to low birth weight, attenuated lung growth, and a significantly increased risk of childhood pneumonia, a leading cause of death in children under five. For adults, chronic exposure is a major risk factor for the development of COPD, lung cancer, and cardiovascular disease.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Even in high-income countries, sources of indoor pollution, such as unvented gas stoves and environmental tobacco smoke, contribute to the burden of respiratory disease.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research literature reveals that the exceptional danger of fine particulate matter (PM2.5​) lies in its ability to function as a "Trojan horse," a stealthy delivery system for systemic toxicity. While larger particles are effectively trapped by the body's upper airway defenses, the fine and ultrafine fractions are small enough to bypass these barriers, carrying their toxic payload deep into the lungs and directly into the bloodstream.</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lung, therefore, is not the final target of the assault; it is merely the port of entry. Once in circulation, these particles and the reactive chemicals they carry initiate a cascade of oxidative stress and inflammation that affects the entire body.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systemic, pro-inflammatory, and pro-thrombotic state is the common underlying pathway that elegantly explains the seemingly disparate array of health effects now attributed to air pollution—from promoting the atherosclerotic plaques that cause heart attacks to increasing blood coagulability that leads to strokes, and potentially contributing to the insulin resistance that underlies diabetes.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body of research collectively highlights a powerful and hopeful paradox: while the biological mechanisms of air pollution's harm are complex and insidious, the vast majority of this immense global health burden is preventable. The research consistently and clearly identifies the primary sources of these harmful pollutants: traffic, power generation, and industrial activity for ambient pollution, and the combustion of solid fuels for household pollution.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clear identification of sources leads to the inescapable conclusion that air pollution is a "major preventable cause" of disease and death.</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understanding reframes the entire issue. Actions taken "upstream" at the policy, regulatory, and engineering levels—such as enforcing robust emissions standards, accelerating the transition to clean energy, and ensuring universal access to clean household cooking and heating solutions—are not just environmental policies.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They are among the most powerful and cost-effective public health interventions available. They function as a form of mass primary prevention, averting millions of cases of heart disease, stroke, cancer, and asthma "downstream" before they ever require treatment in a clinic or hospital. This reframes air quality regulation as a core and indispensable component of modern preventative medicine.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Open-Access Scholarly Textbooks and Educational Compendia</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digital age, the landscape of medical education is being transformed by the increasing availability of high-quality, authoritative scholarly resources that are free from the financial barriers of traditional publishing. For clinicians, students, and researchers, these open-access textbooks and educational platforms are invaluable tools for building foundational knowledge, staying abreast of the latest developments, and accessing credible information without the need for expensive personal subscriptions or institutional access. This section evaluates the ecosystem of freely accessible medical literature, identifying premier resources in the report's key thematic areas of endocrinology and respiratory medicine.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Premier Online Textbooks: A Deep Dive into Endotext and NCBI Bookshelf</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Among the myriad of online resources, two platforms stand out as gold standards in open-access medical publishing, representing the pinnacle of comprehensive, authoritative, and freely available content.</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Endotext</w:t>
      </w:r>
      <w:r w:rsidDel="00000000" w:rsidR="00000000" w:rsidRPr="00000000">
        <w:rPr>
          <w:rFonts w:ascii="Google Sans Text" w:cs="Google Sans Text" w:eastAsia="Google Sans Text" w:hAnsi="Google Sans Text"/>
          <w:color w:val="1b1c1d"/>
          <w:rtl w:val="0"/>
        </w:rPr>
        <w:t xml:space="preserve"> is positioned as arguably the world's premier online textbook of clinical endocrinology. Its value proposition is simple and powerful: it is a comprehensive, authoritative, peer-reviewed, and regularly updated resource that is entirely free to access, requiring only a simple registration.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textbook is organized into sections edited by leading experts and features chapters authored by over 400 specialists from around the world. It covers the full breadth of adult and pediatric endocrinology, with a strong emphasis on clinical practice, including the most current information on the diagnosis and treatment of endocrine diseases.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Its credibility is further solidified by the fact that it is republished by the NIH's National Center for Biotechnology Information (NCBI) and all of its chapters are indexed on PubMed, placing it on par with traditional, high-impact scholarly publications.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NCBI Bookshelf</w:t>
      </w:r>
      <w:r w:rsidDel="00000000" w:rsidR="00000000" w:rsidRPr="00000000">
        <w:rPr>
          <w:rFonts w:ascii="Google Sans Text" w:cs="Google Sans Text" w:eastAsia="Google Sans Text" w:hAnsi="Google Sans Text"/>
          <w:color w:val="1b1c1d"/>
          <w:rtl w:val="0"/>
        </w:rPr>
        <w:t xml:space="preserve"> is a broader but equally indispensable resource. Maintained by the U.S. National Library of Medicine, it is a vast digital library of biomedical books and documents. The Bookshelf provides free, full-text access to a wide range of materials, from classic textbooks to modern clinical guidelines and expert reports. For example, it hosts the complete text of foundational books like </w:t>
      </w:r>
      <w:r w:rsidDel="00000000" w:rsidR="00000000" w:rsidRPr="00000000">
        <w:rPr>
          <w:rFonts w:ascii="Google Sans Text" w:cs="Google Sans Text" w:eastAsia="Google Sans Text" w:hAnsi="Google Sans Text"/>
          <w:i w:val="1"/>
          <w:color w:val="1b1c1d"/>
          <w:rtl w:val="0"/>
        </w:rPr>
        <w:t xml:space="preserve">Endocrinology: An Integrated Approach</w:t>
      </w:r>
      <w:r w:rsidDel="00000000" w:rsidR="00000000" w:rsidRPr="00000000">
        <w:rPr>
          <w:rFonts w:ascii="Google Sans Text" w:cs="Google Sans Text" w:eastAsia="Google Sans Text" w:hAnsi="Google Sans Text"/>
          <w:color w:val="1b1c1d"/>
          <w:rtl w:val="0"/>
        </w:rPr>
        <w:t xml:space="preserve">, which uses clinical cases to integrate basic science with clinical practice.</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It also contains numerous detailed, up-to-date chapters on specific topics relevant to this report, including the pathophysiology, diagnosis, and management of T2DM, as well as comprehensive monographs from the International Agency for Research on Cancer (IARC) and the WHO on the health effects of air pollution.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NCBI Bookshelf functions as a federally supported, public-domain library for the health sciences, providing an unparalleled depth of reliable information.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University-Sponsored Open Educational Resources (OER)</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addition to these major platforms, there is a burgeoning ecosystem of Open Educational Resources (OERs) being developed and shared by universities and academic institutions. These resources are often created specifically for medical and health sciences curricula and are designed to be freely used, adapted, and distributed. The University of Minnesota's Open Textbook Library is a prominent example of a repository for such materials.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Within this library, one can find high-quality, targeted textbooks such as </w:t>
      </w:r>
      <w:r w:rsidDel="00000000" w:rsidR="00000000" w:rsidRPr="00000000">
        <w:rPr>
          <w:rFonts w:ascii="Google Sans Text" w:cs="Google Sans Text" w:eastAsia="Google Sans Text" w:hAnsi="Google Sans Text"/>
          <w:i w:val="1"/>
          <w:color w:val="1b1c1d"/>
          <w:rtl w:val="0"/>
        </w:rPr>
        <w:t xml:space="preserve">Pulmonary Physiology for Pre-Clinical Students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Pulmonary Pathophysiology for Pre-Clinical Students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These texts are designed to provide foundational knowledge for medical students, with content explicitly aligned to the guidelines of the United States Medical Licensing Examination (USMLE®). Their concise format is intended to prepare learners for active classroom experiences where clinical correlates can be explored in greater detail.</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While not as exhaustive as a comprehensive reference textbook, these OERs serve a critical educational role by providing accessible, peer-reviewed, and curriculum-aligned content for students and trainees.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Navigating the Open-Access Journal Landscape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world of scholarly journals provides the most dynamic and up-to-the-minute source of medical knowledge. While many prestigious journals remain behind subscription paywalls, a growing number of high-quality, fully open-access journals are making cutting-edge research and clinical guidance freely available to a global audience. These journals are essential complements to more static textbooks.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field of respiratory medicine, journals such as </w:t>
      </w:r>
      <w:r w:rsidDel="00000000" w:rsidR="00000000" w:rsidRPr="00000000">
        <w:rPr>
          <w:rFonts w:ascii="Google Sans Text" w:cs="Google Sans Text" w:eastAsia="Google Sans Text" w:hAnsi="Google Sans Text"/>
          <w:i w:val="1"/>
          <w:color w:val="1b1c1d"/>
          <w:rtl w:val="0"/>
        </w:rPr>
        <w:t xml:space="preserve">BMJ Open Respiratory Research</w:t>
      </w:r>
      <w:r w:rsidDel="00000000" w:rsidR="00000000" w:rsidRPr="00000000">
        <w:rPr>
          <w:rFonts w:ascii="Google Sans Text" w:cs="Google Sans Text" w:eastAsia="Google Sans Text" w:hAnsi="Google Sans Text"/>
          <w:color w:val="1b1c1d"/>
          <w:rtl w:val="0"/>
        </w:rPr>
        <w:t xml:space="preserve">, co-owned by the British Thoracic Society, </w:t>
      </w:r>
      <w:r w:rsidDel="00000000" w:rsidR="00000000" w:rsidRPr="00000000">
        <w:rPr>
          <w:rFonts w:ascii="Google Sans Text" w:cs="Google Sans Text" w:eastAsia="Google Sans Text" w:hAnsi="Google Sans Text"/>
          <w:i w:val="1"/>
          <w:color w:val="1b1c1d"/>
          <w:rtl w:val="0"/>
        </w:rPr>
        <w:t xml:space="preserve">Advances in Respiratory Medicine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The Open Respiratory Medicine Journal</w:t>
      </w:r>
      <w:r w:rsidDel="00000000" w:rsidR="00000000" w:rsidRPr="00000000">
        <w:rPr>
          <w:rFonts w:ascii="Google Sans Text" w:cs="Google Sans Text" w:eastAsia="Google Sans Text" w:hAnsi="Google Sans Text"/>
          <w:color w:val="1b1c1d"/>
          <w:rtl w:val="0"/>
        </w:rPr>
        <w:t xml:space="preserve"> publish a wide range of content, including original research, systematic reviews, and protocols.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Crucially, these platforms also serve as venues for the publication of clinical practice guidelines. For instance,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BMJ Open Respiratory Research</w:t>
      </w:r>
      <w:r w:rsidDel="00000000" w:rsidR="00000000" w:rsidRPr="00000000">
        <w:rPr>
          <w:rFonts w:ascii="Google Sans Text" w:cs="Google Sans Text" w:eastAsia="Google Sans Text" w:hAnsi="Google Sans Text"/>
          <w:color w:val="1b1c1d"/>
          <w:rtl w:val="0"/>
        </w:rPr>
        <w:t xml:space="preserve"> has published the British Thoracic Society's guideline for oxygen use, making this critical clinical document universally accessible.</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model stands in stark contrast to the traditional publishing ecosystem, where access to the flagship textbooks and journals from major commercial publishers like Elsevier, McGraw Hill, and Wiley often requires a significant financial investment or an institutional subscription.</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rise of true open-access platforms is therefore a critical development in the democratization of medical knowledge.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analysis of the open-access educational market reveals a structure akin to a barbell. At one end are a few exceptionally comprehensive, authoritative, and continuously updated "super-resources" like Endotext and the NCBI Bookshelf. These platforms function as complete digital libraries for their respective domains.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At the other end of the barbell is a growing and valuable collection of more granular, niche OERs, often produced by universities to serve specific pedagogical needs, such as the pre-clinical pulmonary textbooks from the Open Textbook Library.</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vast middle ground, however, which is occupied by the traditional, comprehensive reference textbooks like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Williams Textbook of Endocrinology</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Greenspan's Basic &amp; Clinical Endocrinology</w:t>
      </w:r>
      <w:r w:rsidDel="00000000" w:rsidR="00000000" w:rsidRPr="00000000">
        <w:rPr>
          <w:rFonts w:ascii="Google Sans Text" w:cs="Google Sans Text" w:eastAsia="Google Sans Text" w:hAnsi="Google Sans Text"/>
          <w:color w:val="1b1c1d"/>
          <w:rtl w:val="0"/>
        </w:rPr>
        <w:t xml:space="preserve">, remains largely behind the commercial paywalls of major publishers.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market structure provides a crucial roadmap for users: for comprehensive, free, and authoritative knowledge, the search should begin with the "super-resources." For targeted, course-aligned material, the OER ecosystem is ideal. Understanding this landscape prevents the inefficient search for flagship commercial textbooks that are highly unlikely to be available for free.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in rapidly evolving fields like endocrinology and respiratory medicine, the open-access journal is increasingly supplanting the traditional textbook as the most vital source of current, evidence-based knowledge and guidance. A printed textbook, even one updated every few years, can quickly become outdated as new trial data emerges and clinical practice shifts. The most important clinical guidance documents, such as the ADA </w:t>
      </w:r>
      <w:r w:rsidDel="00000000" w:rsidR="00000000" w:rsidRPr="00000000">
        <w:rPr>
          <w:rFonts w:ascii="Google Sans Text" w:cs="Google Sans Text" w:eastAsia="Google Sans Text" w:hAnsi="Google Sans Text"/>
          <w:i w:val="1"/>
          <w:color w:val="1b1c1d"/>
          <w:rtl w:val="0"/>
        </w:rPr>
        <w:t xml:space="preserve">Standards of Care</w:t>
      </w:r>
      <w:r w:rsidDel="00000000" w:rsidR="00000000" w:rsidRPr="00000000">
        <w:rPr>
          <w:rFonts w:ascii="Google Sans Text" w:cs="Google Sans Text" w:eastAsia="Google Sans Text" w:hAnsi="Google Sans Text"/>
          <w:color w:val="1b1c1d"/>
          <w:rtl w:val="0"/>
        </w:rPr>
        <w:t xml:space="preserve">, are now published annually in a journal (</w:t>
      </w:r>
      <w:r w:rsidDel="00000000" w:rsidR="00000000" w:rsidRPr="00000000">
        <w:rPr>
          <w:rFonts w:ascii="Google Sans Text" w:cs="Google Sans Text" w:eastAsia="Google Sans Text" w:hAnsi="Google Sans Text"/>
          <w:i w:val="1"/>
          <w:color w:val="1b1c1d"/>
          <w:rtl w:val="0"/>
        </w:rPr>
        <w:t xml:space="preserve">Diabetes Care</w:t>
      </w:r>
      <w:r w:rsidDel="00000000" w:rsidR="00000000" w:rsidRPr="00000000">
        <w:rPr>
          <w:rFonts w:ascii="Google Sans Text" w:cs="Google Sans Text" w:eastAsia="Google Sans Text" w:hAnsi="Google Sans Text"/>
          <w:color w:val="1b1c1d"/>
          <w:rtl w:val="0"/>
        </w:rPr>
        <w:t xml:space="preserve">) to ensure they reflect the latest evidence.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Similarly, major clinical guidelines from professional societies, like the British Thoracic Society, are published in open-access journals to ensure immediate and widespread dissemination.</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represents a fundamental shift in how medical knowledge is curated and consumed. The "textbook" knowledge required for cutting-edge clinical practice is now most often a synthesis of guidelines and major review articles published in journals within the last one to two years. Therefore, for any user seeking to operate at the forefront of their field, mastering the landscape of high-impact, open-access journals has become more critical than relying solely on the venerable but more static traditional textbook. In essence, the journal has become the "living textbook."</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Synthesis and Strategic Application of Medical Literature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compendium has curated a selection of authoritative, open-access medical documents spanning clinical guidelines, public health intelligence, primary research, and foundational textbooks. A simple summary of these individual resources would understate their collective value. The true power of this collection lies in its strategic application, using a methodology of "evidence triangulation" to construct a robust, multi-dimensional understanding of any clinical or public health topic. This approach involves integrating the distinct but complementary perspectives offered by each type of literature to move from high-level recommendations to mechanistic understanding and practical application.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framework can be conceptualized as a process of answering a cascade of questions:</w:t>
      </w:r>
    </w:p>
    <w:p w:rsidR="00000000" w:rsidDel="00000000" w:rsidP="00000000" w:rsidRDefault="00000000" w:rsidRPr="00000000" w14:paraId="000000B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Clinical Practice Guidelines</w:t>
      </w:r>
      <w:r w:rsidDel="00000000" w:rsidR="00000000" w:rsidRPr="00000000">
        <w:rPr>
          <w:rFonts w:ascii="Google Sans Text" w:cs="Google Sans Text" w:eastAsia="Google Sans Text" w:hAnsi="Google Sans Text"/>
          <w:color w:val="1b1c1d"/>
          <w:rtl w:val="0"/>
        </w:rPr>
        <w:t xml:space="preserve"> answer the question, "</w:t>
      </w:r>
      <w:r w:rsidDel="00000000" w:rsidR="00000000" w:rsidRPr="00000000">
        <w:rPr>
          <w:rFonts w:ascii="Google Sans Text" w:cs="Google Sans Text" w:eastAsia="Google Sans Text" w:hAnsi="Google Sans Text"/>
          <w:b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should be done?" They represent a synthesis of the best available evidence, translated into actionable recommendations for diagnosis, screening, and treatment.</w:t>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Primary Research Literature</w:t>
      </w:r>
      <w:r w:rsidDel="00000000" w:rsidR="00000000" w:rsidRPr="00000000">
        <w:rPr>
          <w:rFonts w:ascii="Google Sans Text" w:cs="Google Sans Text" w:eastAsia="Google Sans Text" w:hAnsi="Google Sans Text"/>
          <w:color w:val="1b1c1d"/>
          <w:rtl w:val="0"/>
        </w:rPr>
        <w:t xml:space="preserve"> answers the question, "</w:t>
      </w:r>
      <w:r w:rsidDel="00000000" w:rsidR="00000000" w:rsidRPr="00000000">
        <w:rPr>
          <w:rFonts w:ascii="Google Sans Text" w:cs="Google Sans Text" w:eastAsia="Google Sans Text" w:hAnsi="Google Sans Text"/>
          <w:b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should it be done?" It provides the underlying epidemiological and mechanistic data that form the evidence base for the guidelines, explaining the biological rationale and the clinical trial results that support a particular recommendation.</w:t>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Foundational Textbooks and Educational Resources</w:t>
      </w:r>
      <w:r w:rsidDel="00000000" w:rsidR="00000000" w:rsidRPr="00000000">
        <w:rPr>
          <w:rFonts w:ascii="Google Sans Text" w:cs="Google Sans Text" w:eastAsia="Google Sans Text" w:hAnsi="Google Sans Text"/>
          <w:color w:val="1b1c1d"/>
          <w:rtl w:val="0"/>
        </w:rPr>
        <w:t xml:space="preserve"> answer the question, "</w:t>
      </w:r>
      <w:r w:rsidDel="00000000" w:rsidR="00000000" w:rsidRPr="00000000">
        <w:rPr>
          <w:rFonts w:ascii="Google Sans Text" w:cs="Google Sans Text" w:eastAsia="Google Sans Text" w:hAnsi="Google Sans Text"/>
          <w:b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does it work?" They provide the essential background knowledge of physiology, pathophysiology, and pharmacology necessary to understand the context of the disease and the interventions proposed.</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illustrate this process, consider a clinician managing a patient with T2DM and established cardiovascular disease. The journey through the literature would begin with the ADA </w:t>
      </w:r>
      <w:r w:rsidDel="00000000" w:rsidR="00000000" w:rsidRPr="00000000">
        <w:rPr>
          <w:rFonts w:ascii="Google Sans Text" w:cs="Google Sans Text" w:eastAsia="Google Sans Text" w:hAnsi="Google Sans Text"/>
          <w:i w:val="1"/>
          <w:color w:val="1b1c1d"/>
          <w:rtl w:val="0"/>
        </w:rPr>
        <w:t xml:space="preserve">Standards of Care</w:t>
      </w:r>
      <w:r w:rsidDel="00000000" w:rsidR="00000000" w:rsidRPr="00000000">
        <w:rPr>
          <w:rFonts w:ascii="Google Sans Text" w:cs="Google Sans Text" w:eastAsia="Google Sans Text" w:hAnsi="Google Sans Text"/>
          <w:color w:val="1b1c1d"/>
          <w:rtl w:val="0"/>
        </w:rPr>
        <w:t xml:space="preserve"> or the AACE algorithm (the "what"). These guidelines would strongly recommend the use of an SGLT-2 inhibitor or a GLP-1 receptor agonist for cardiovascular risk reduction, independent of the patient's HbA1c.</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the basis for this powerful recommendation (the "why"), the clinician could then turn to the primary research literature—specifically, the landmark cardiovascular outcome trials for these drug classes. While not detailed in this report, these studies are the foundation of the guideline changes. Review articles summarizing these trials would explain that these medications were shown to significantly reduce the risk of heart attack, stroke, and cardiovascular death.</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to grasp the fundamental science (the "how"), the clinician could consult a resource like Endotext or the NCBI Bookshelf. A chapter on incretin hormones would explain the physiological actions of GLP-1, while a chapter on renal physiology would detail the mechanism of SGLT-2 inhibition in the proximal tubule of the kidney.</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triangulating these sources, the clinician moves from a guideline-directed action to a deep, evidence-based understanding of the recommendation's rationale and the underlying biological principles. This integrated knowledge is the hallmark of evidence-based practice. It empowers the user—whether a clinician at the bedside, a researcher designing a new study, or a policymaker developing a public health strategy—to not only follow the evidence but to understand it, critique it, and apply it with confidence and nuance. The resources compiled in this report provide the essential, freely accessible building blocks for this rigorous and continuous process of learning and application.</w:t>
      </w:r>
    </w:p>
    <w:p w:rsidR="00000000" w:rsidDel="00000000" w:rsidP="00000000" w:rsidRDefault="00000000" w:rsidRPr="00000000" w14:paraId="000000B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Diabetes Practice Guidelines &amp; Resources | American Diabetes ..., accessed September 2, 2025, </w:t>
      </w:r>
      <w:hyperlink r:id="rId6">
        <w:r w:rsidDel="00000000" w:rsidR="00000000" w:rsidRPr="00000000">
          <w:rPr>
            <w:rFonts w:ascii="Google Sans" w:cs="Google Sans" w:eastAsia="Google Sans" w:hAnsi="Google Sans"/>
            <w:color w:val="0000ee"/>
            <w:sz w:val="24"/>
            <w:szCs w:val="24"/>
            <w:u w:val="single"/>
            <w:rtl w:val="0"/>
          </w:rPr>
          <w:t xml:space="preserve">https://professional.diabetes.org/standards-of-care/practice-guidelines-resources</w:t>
        </w:r>
      </w:hyperlink>
      <w:r w:rsidDel="00000000" w:rsidR="00000000" w:rsidRPr="00000000">
        <w:rPr>
          <w:rtl w:val="0"/>
        </w:rPr>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Diabetes Guidelines and Algorithms | American Association of ..., accessed September 2, 2025, </w:t>
      </w:r>
      <w:hyperlink r:id="rId7">
        <w:r w:rsidDel="00000000" w:rsidR="00000000" w:rsidRPr="00000000">
          <w:rPr>
            <w:rFonts w:ascii="Google Sans" w:cs="Google Sans" w:eastAsia="Google Sans" w:hAnsi="Google Sans"/>
            <w:color w:val="0000ee"/>
            <w:sz w:val="24"/>
            <w:szCs w:val="24"/>
            <w:u w:val="single"/>
            <w:rtl w:val="0"/>
          </w:rPr>
          <w:t xml:space="preserve">https://pro.aace.com/clinical-guidance/diabetes</w:t>
        </w:r>
      </w:hyperlink>
      <w:r w:rsidDel="00000000" w:rsidR="00000000" w:rsidRPr="00000000">
        <w:rPr>
          <w:rtl w:val="0"/>
        </w:rPr>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Guidelines - Clinical Practice Guidelines - Diabetes Canada, accessed September 2, 2025, </w:t>
      </w:r>
      <w:hyperlink r:id="rId8">
        <w:r w:rsidDel="00000000" w:rsidR="00000000" w:rsidRPr="00000000">
          <w:rPr>
            <w:rFonts w:ascii="Google Sans" w:cs="Google Sans" w:eastAsia="Google Sans" w:hAnsi="Google Sans"/>
            <w:color w:val="0000ee"/>
            <w:sz w:val="24"/>
            <w:szCs w:val="24"/>
            <w:u w:val="single"/>
            <w:rtl w:val="0"/>
          </w:rPr>
          <w:t xml:space="preserve">https://guidelines.diabetes.ca/cpg</w:t>
        </w:r>
      </w:hyperlink>
      <w:r w:rsidDel="00000000" w:rsidR="00000000" w:rsidRPr="00000000">
        <w:rPr>
          <w:rtl w:val="0"/>
        </w:rPr>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Management of Type 2 Diabetes Mellitus (2023) - VA/DOD Clinical ..., accessed September 2, 2025, </w:t>
      </w:r>
      <w:hyperlink r:id="rId9">
        <w:r w:rsidDel="00000000" w:rsidR="00000000" w:rsidRPr="00000000">
          <w:rPr>
            <w:rFonts w:ascii="Google Sans" w:cs="Google Sans" w:eastAsia="Google Sans" w:hAnsi="Google Sans"/>
            <w:color w:val="0000ee"/>
            <w:sz w:val="24"/>
            <w:szCs w:val="24"/>
            <w:u w:val="single"/>
            <w:rtl w:val="0"/>
          </w:rPr>
          <w:t xml:space="preserve">https://www.healthquality.va.gov/guidelines/cd/diabetes/</w:t>
        </w:r>
      </w:hyperlink>
      <w:r w:rsidDel="00000000" w:rsidR="00000000" w:rsidRPr="00000000">
        <w:rPr>
          <w:rtl w:val="0"/>
        </w:rPr>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Standards of Care in Diabetes | ADA Clinical Guidelines, accessed September 2, 2025, </w:t>
      </w:r>
      <w:hyperlink r:id="rId10">
        <w:r w:rsidDel="00000000" w:rsidR="00000000" w:rsidRPr="00000000">
          <w:rPr>
            <w:rFonts w:ascii="Google Sans" w:cs="Google Sans" w:eastAsia="Google Sans" w:hAnsi="Google Sans"/>
            <w:color w:val="0000ee"/>
            <w:sz w:val="24"/>
            <w:szCs w:val="24"/>
            <w:u w:val="single"/>
            <w:rtl w:val="0"/>
          </w:rPr>
          <w:t xml:space="preserve">https://professional.diabetes.org/standards-of-care</w:t>
        </w:r>
      </w:hyperlink>
      <w:r w:rsidDel="00000000" w:rsidR="00000000" w:rsidRPr="00000000">
        <w:rPr>
          <w:rtl w:val="0"/>
        </w:rPr>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Clinical practice guideline for the prevention, early detection, diagnosis, management and follow up of type 2 diabetes mellitus in adults, accessed September 2, 2025, </w:t>
      </w:r>
      <w:hyperlink r:id="rId11">
        <w:r w:rsidDel="00000000" w:rsidR="00000000" w:rsidRPr="00000000">
          <w:rPr>
            <w:rFonts w:ascii="Google Sans" w:cs="Google Sans" w:eastAsia="Google Sans" w:hAnsi="Google Sans"/>
            <w:color w:val="0000ee"/>
            <w:sz w:val="24"/>
            <w:szCs w:val="24"/>
            <w:u w:val="single"/>
            <w:rtl w:val="0"/>
          </w:rPr>
          <w:t xml:space="preserve">https://pmc.ncbi.nlm.nih.gov/articles/PMC4975132/</w:t>
        </w:r>
      </w:hyperlink>
      <w:r w:rsidDel="00000000" w:rsidR="00000000" w:rsidRPr="00000000">
        <w:rPr>
          <w:rtl w:val="0"/>
        </w:rPr>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Management of Type 2 Diabetes Mellitus - NCBI Bookshelf, accessed September 2, 2025, </w:t>
      </w:r>
      <w:hyperlink r:id="rId12">
        <w:r w:rsidDel="00000000" w:rsidR="00000000" w:rsidRPr="00000000">
          <w:rPr>
            <w:rFonts w:ascii="Google Sans" w:cs="Google Sans" w:eastAsia="Google Sans" w:hAnsi="Google Sans"/>
            <w:color w:val="0000ee"/>
            <w:sz w:val="24"/>
            <w:szCs w:val="24"/>
            <w:u w:val="single"/>
            <w:rtl w:val="0"/>
          </w:rPr>
          <w:t xml:space="preserve">https://www.ncbi.nlm.nih.gov/books/NBK579413/</w:t>
        </w:r>
      </w:hyperlink>
      <w:r w:rsidDel="00000000" w:rsidR="00000000" w:rsidRPr="00000000">
        <w:rPr>
          <w:rtl w:val="0"/>
        </w:rPr>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 2 Diabetes - StatPearls - NCBI Bookshelf, accessed September 2, 2025, </w:t>
      </w:r>
      <w:hyperlink r:id="rId13">
        <w:r w:rsidDel="00000000" w:rsidR="00000000" w:rsidRPr="00000000">
          <w:rPr>
            <w:rFonts w:ascii="Google Sans" w:cs="Google Sans" w:eastAsia="Google Sans" w:hAnsi="Google Sans"/>
            <w:color w:val="0000ee"/>
            <w:sz w:val="24"/>
            <w:szCs w:val="24"/>
            <w:u w:val="single"/>
            <w:rtl w:val="0"/>
          </w:rPr>
          <w:t xml:space="preserve">https://www.ncbi.nlm.nih.gov/books/NBK513253/</w:t>
        </w:r>
      </w:hyperlink>
      <w:r w:rsidDel="00000000" w:rsidR="00000000" w:rsidRPr="00000000">
        <w:rPr>
          <w:rtl w:val="0"/>
        </w:rPr>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 global air quality guidelines - NCBI Bookshelf, accessed September 2, 2025, </w:t>
      </w:r>
      <w:hyperlink r:id="rId14">
        <w:r w:rsidDel="00000000" w:rsidR="00000000" w:rsidRPr="00000000">
          <w:rPr>
            <w:rFonts w:ascii="Google Sans" w:cs="Google Sans" w:eastAsia="Google Sans" w:hAnsi="Google Sans"/>
            <w:color w:val="0000ee"/>
            <w:sz w:val="24"/>
            <w:szCs w:val="24"/>
            <w:u w:val="single"/>
            <w:rtl w:val="0"/>
          </w:rPr>
          <w:t xml:space="preserve">https://www.ncbi.nlm.nih.gov/books/NBK574594/</w:t>
        </w:r>
      </w:hyperlink>
      <w:r w:rsidDel="00000000" w:rsidR="00000000" w:rsidRPr="00000000">
        <w:rPr>
          <w:rtl w:val="0"/>
        </w:rPr>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 pollution: tackling a critical driver of the global NCD crisis, accessed September 2, 2025, </w:t>
      </w:r>
      <w:hyperlink r:id="rId15">
        <w:r w:rsidDel="00000000" w:rsidR="00000000" w:rsidRPr="00000000">
          <w:rPr>
            <w:rFonts w:ascii="Google Sans" w:cs="Google Sans" w:eastAsia="Google Sans" w:hAnsi="Google Sans"/>
            <w:color w:val="0000ee"/>
            <w:sz w:val="24"/>
            <w:szCs w:val="24"/>
            <w:u w:val="single"/>
            <w:rtl w:val="0"/>
          </w:rPr>
          <w:t xml:space="preserve">https://www.who.int/news-room/commentaries/detail/air-pollution--tackling-a-critical-driver-of-the-global-ncd-crisis</w:t>
        </w:r>
      </w:hyperlink>
      <w:r w:rsidDel="00000000" w:rsidR="00000000" w:rsidRPr="00000000">
        <w:rPr>
          <w:rtl w:val="0"/>
        </w:rPr>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Perspectives in Disease Prevention and Health Promotion Toxic Air ..., accessed September 2, 2025, </w:t>
      </w:r>
      <w:hyperlink r:id="rId16">
        <w:r w:rsidDel="00000000" w:rsidR="00000000" w:rsidRPr="00000000">
          <w:rPr>
            <w:rFonts w:ascii="Google Sans" w:cs="Google Sans" w:eastAsia="Google Sans" w:hAnsi="Google Sans"/>
            <w:color w:val="0000ee"/>
            <w:sz w:val="24"/>
            <w:szCs w:val="24"/>
            <w:u w:val="single"/>
            <w:rtl w:val="0"/>
          </w:rPr>
          <w:t xml:space="preserve">https://www.cdc.gov/mmwr/preview/mmwrhtml/00001969.htm</w:t>
        </w:r>
      </w:hyperlink>
      <w:r w:rsidDel="00000000" w:rsidR="00000000" w:rsidRPr="00000000">
        <w:rPr>
          <w:rtl w:val="0"/>
        </w:rPr>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Air Quality - CDC, accessed September 2, 2025, </w:t>
      </w:r>
      <w:hyperlink r:id="rId17">
        <w:r w:rsidDel="00000000" w:rsidR="00000000" w:rsidRPr="00000000">
          <w:rPr>
            <w:rFonts w:ascii="Google Sans" w:cs="Google Sans" w:eastAsia="Google Sans" w:hAnsi="Google Sans"/>
            <w:color w:val="0000ee"/>
            <w:sz w:val="24"/>
            <w:szCs w:val="24"/>
            <w:u w:val="single"/>
            <w:rtl w:val="0"/>
          </w:rPr>
          <w:t xml:space="preserve">https://www.cdc.gov/air-quality/about/index.html</w:t>
        </w:r>
      </w:hyperlink>
      <w:r w:rsidDel="00000000" w:rsidR="00000000" w:rsidRPr="00000000">
        <w:rPr>
          <w:rtl w:val="0"/>
        </w:rPr>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Outdoor air pollution - NCBI Bookshelf, accessed September 2, 2025, </w:t>
      </w:r>
      <w:hyperlink r:id="rId18">
        <w:r w:rsidDel="00000000" w:rsidR="00000000" w:rsidRPr="00000000">
          <w:rPr>
            <w:rFonts w:ascii="Google Sans" w:cs="Google Sans" w:eastAsia="Google Sans" w:hAnsi="Google Sans"/>
            <w:color w:val="0000ee"/>
            <w:sz w:val="24"/>
            <w:szCs w:val="24"/>
            <w:u w:val="single"/>
            <w:rtl w:val="0"/>
          </w:rPr>
          <w:t xml:space="preserve">https://www.ncbi.nlm.nih.gov/books/NBK368024/</w:t>
        </w:r>
      </w:hyperlink>
      <w:r w:rsidDel="00000000" w:rsidR="00000000" w:rsidRPr="00000000">
        <w:rPr>
          <w:rtl w:val="0"/>
        </w:rPr>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and Health Impacts of Air Pollution: A Review - PMC, accessed September 2, 2025, </w:t>
      </w:r>
      <w:hyperlink r:id="rId19">
        <w:r w:rsidDel="00000000" w:rsidR="00000000" w:rsidRPr="00000000">
          <w:rPr>
            <w:rFonts w:ascii="Google Sans" w:cs="Google Sans" w:eastAsia="Google Sans" w:hAnsi="Google Sans"/>
            <w:color w:val="0000ee"/>
            <w:sz w:val="24"/>
            <w:szCs w:val="24"/>
            <w:u w:val="single"/>
            <w:rtl w:val="0"/>
          </w:rPr>
          <w:t xml:space="preserve">https://pmc.ncbi.nlm.nih.gov/articles/PMC7044178/</w:t>
        </w:r>
      </w:hyperlink>
      <w:r w:rsidDel="00000000" w:rsidR="00000000" w:rsidRPr="00000000">
        <w:rPr>
          <w:rtl w:val="0"/>
        </w:rPr>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of the Effects of Particulate Matter Air Pollution on Human Health - PMC, accessed September 2, 2025, </w:t>
      </w:r>
      <w:hyperlink r:id="rId20">
        <w:r w:rsidDel="00000000" w:rsidR="00000000" w:rsidRPr="00000000">
          <w:rPr>
            <w:rFonts w:ascii="Google Sans" w:cs="Google Sans" w:eastAsia="Google Sans" w:hAnsi="Google Sans"/>
            <w:color w:val="0000ee"/>
            <w:sz w:val="24"/>
            <w:szCs w:val="24"/>
            <w:u w:val="single"/>
            <w:rtl w:val="0"/>
          </w:rPr>
          <w:t xml:space="preserve">https://pmc.ncbi.nlm.nih.gov/articles/PMC3550231/</w:t>
        </w:r>
      </w:hyperlink>
      <w:r w:rsidDel="00000000" w:rsidR="00000000" w:rsidRPr="00000000">
        <w:rPr>
          <w:rtl w:val="0"/>
        </w:rPr>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 pollution and chronic airway diseases: what should people know and do? - PMC, accessed September 2, 2025, </w:t>
      </w:r>
      <w:hyperlink r:id="rId21">
        <w:r w:rsidDel="00000000" w:rsidR="00000000" w:rsidRPr="00000000">
          <w:rPr>
            <w:rFonts w:ascii="Google Sans" w:cs="Google Sans" w:eastAsia="Google Sans" w:hAnsi="Google Sans"/>
            <w:color w:val="0000ee"/>
            <w:sz w:val="24"/>
            <w:szCs w:val="24"/>
            <w:u w:val="single"/>
            <w:rtl w:val="0"/>
          </w:rPr>
          <w:t xml:space="preserve">https://pmc.ncbi.nlm.nih.gov/articles/PMC4740163/</w:t>
        </w:r>
      </w:hyperlink>
      <w:r w:rsidDel="00000000" w:rsidR="00000000" w:rsidRPr="00000000">
        <w:rPr>
          <w:rtl w:val="0"/>
        </w:rPr>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Respiratory Health Effects of Air Pollution: Update on Biomass Smoke and Traffic Pollution - PMC - PubMed Central, accessed September 2, 2025, </w:t>
      </w:r>
      <w:hyperlink r:id="rId22">
        <w:r w:rsidDel="00000000" w:rsidR="00000000" w:rsidRPr="00000000">
          <w:rPr>
            <w:rFonts w:ascii="Google Sans" w:cs="Google Sans" w:eastAsia="Google Sans" w:hAnsi="Google Sans"/>
            <w:color w:val="0000ee"/>
            <w:sz w:val="24"/>
            <w:szCs w:val="24"/>
            <w:u w:val="single"/>
            <w:rtl w:val="0"/>
          </w:rPr>
          <w:t xml:space="preserve">https://pmc.ncbi.nlm.nih.gov/articles/PMC3272333/</w:t>
        </w:r>
      </w:hyperlink>
      <w:r w:rsidDel="00000000" w:rsidR="00000000" w:rsidRPr="00000000">
        <w:rPr>
          <w:rtl w:val="0"/>
        </w:rPr>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environmental air pollution on respiratory health and function - PMC, accessed September 2, 2025, </w:t>
      </w:r>
      <w:hyperlink r:id="rId23">
        <w:r w:rsidDel="00000000" w:rsidR="00000000" w:rsidRPr="00000000">
          <w:rPr>
            <w:rFonts w:ascii="Google Sans" w:cs="Google Sans" w:eastAsia="Google Sans" w:hAnsi="Google Sans"/>
            <w:color w:val="0000ee"/>
            <w:sz w:val="24"/>
            <w:szCs w:val="24"/>
            <w:u w:val="single"/>
            <w:rtl w:val="0"/>
          </w:rPr>
          <w:t xml:space="preserve">https://pmc.ncbi.nlm.nih.gov/articles/PMC11341277/</w:t>
        </w:r>
      </w:hyperlink>
      <w:r w:rsidDel="00000000" w:rsidR="00000000" w:rsidRPr="00000000">
        <w:rPr>
          <w:rtl w:val="0"/>
        </w:rPr>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Indoor Air Pollution and Respiratory Health - PMC, accessed September 2, 2025, </w:t>
      </w:r>
      <w:hyperlink r:id="rId24">
        <w:r w:rsidDel="00000000" w:rsidR="00000000" w:rsidRPr="00000000">
          <w:rPr>
            <w:rFonts w:ascii="Google Sans" w:cs="Google Sans" w:eastAsia="Google Sans" w:hAnsi="Google Sans"/>
            <w:color w:val="0000ee"/>
            <w:sz w:val="24"/>
            <w:szCs w:val="24"/>
            <w:u w:val="single"/>
            <w:rtl w:val="0"/>
          </w:rPr>
          <w:t xml:space="preserve">https://pmc.ncbi.nlm.nih.gov/articles/PMC7665158/</w:t>
        </w:r>
      </w:hyperlink>
      <w:r w:rsidDel="00000000" w:rsidR="00000000" w:rsidRPr="00000000">
        <w:rPr>
          <w:rtl w:val="0"/>
        </w:rPr>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Endotext: The best Clinical Endocrinology source in the world., accessed September 2, 2025, </w:t>
      </w:r>
      <w:hyperlink r:id="rId25">
        <w:r w:rsidDel="00000000" w:rsidR="00000000" w:rsidRPr="00000000">
          <w:rPr>
            <w:rFonts w:ascii="Google Sans" w:cs="Google Sans" w:eastAsia="Google Sans" w:hAnsi="Google Sans"/>
            <w:color w:val="0000ee"/>
            <w:sz w:val="24"/>
            <w:szCs w:val="24"/>
            <w:u w:val="single"/>
            <w:rtl w:val="0"/>
          </w:rPr>
          <w:t xml:space="preserve">https://www.endotext.org/</w:t>
        </w:r>
      </w:hyperlink>
      <w:r w:rsidDel="00000000" w:rsidR="00000000" w:rsidRPr="00000000">
        <w:rPr>
          <w:rtl w:val="0"/>
        </w:rPr>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Endocrinology - NCBI Bookshelf, accessed September 2, 2025, </w:t>
      </w:r>
      <w:hyperlink r:id="rId26">
        <w:r w:rsidDel="00000000" w:rsidR="00000000" w:rsidRPr="00000000">
          <w:rPr>
            <w:rFonts w:ascii="Google Sans" w:cs="Google Sans" w:eastAsia="Google Sans" w:hAnsi="Google Sans"/>
            <w:color w:val="0000ee"/>
            <w:sz w:val="24"/>
            <w:szCs w:val="24"/>
            <w:u w:val="single"/>
            <w:rtl w:val="0"/>
          </w:rPr>
          <w:t xml:space="preserve">https://www.ncbi.nlm.nih.gov/books/NBK22/</w:t>
        </w:r>
      </w:hyperlink>
      <w:r w:rsidDel="00000000" w:rsidR="00000000" w:rsidRPr="00000000">
        <w:rPr>
          <w:rtl w:val="0"/>
        </w:rPr>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Type 2 diabetes - InformedHealth.org - NCBI Bookshelf, accessed September 2, 2025, </w:t>
      </w:r>
      <w:hyperlink r:id="rId27">
        <w:r w:rsidDel="00000000" w:rsidR="00000000" w:rsidRPr="00000000">
          <w:rPr>
            <w:rFonts w:ascii="Google Sans" w:cs="Google Sans" w:eastAsia="Google Sans" w:hAnsi="Google Sans"/>
            <w:color w:val="0000ee"/>
            <w:sz w:val="24"/>
            <w:szCs w:val="24"/>
            <w:u w:val="single"/>
            <w:rtl w:val="0"/>
          </w:rPr>
          <w:t xml:space="preserve">https://www.ncbi.nlm.nih.gov/books/NBK279509/</w:t>
        </w:r>
      </w:hyperlink>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Obesity and Type 2 Diabetes - StatPearls - NCBI Bookshelf, accessed September 2, 2025, </w:t>
      </w:r>
      <w:hyperlink r:id="rId28">
        <w:r w:rsidDel="00000000" w:rsidR="00000000" w:rsidRPr="00000000">
          <w:rPr>
            <w:rFonts w:ascii="Google Sans" w:cs="Google Sans" w:eastAsia="Google Sans" w:hAnsi="Google Sans"/>
            <w:color w:val="0000ee"/>
            <w:sz w:val="24"/>
            <w:szCs w:val="24"/>
            <w:u w:val="single"/>
            <w:rtl w:val="0"/>
          </w:rPr>
          <w:t xml:space="preserve">https://www.ncbi.nlm.nih.gov/books/NBK592412/</w:t>
        </w:r>
      </w:hyperlink>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More – Hyperglycemia and hypoglycemia in type 2 diabetes - NCBI, accessed September 2, 2025, </w:t>
      </w:r>
      <w:hyperlink r:id="rId29">
        <w:r w:rsidDel="00000000" w:rsidR="00000000" w:rsidRPr="00000000">
          <w:rPr>
            <w:rFonts w:ascii="Google Sans" w:cs="Google Sans" w:eastAsia="Google Sans" w:hAnsi="Google Sans"/>
            <w:color w:val="0000ee"/>
            <w:sz w:val="24"/>
            <w:szCs w:val="24"/>
            <w:u w:val="single"/>
            <w:rtl w:val="0"/>
          </w:rPr>
          <w:t xml:space="preserve">https://www.ncbi.nlm.nih.gov/books/NBK279510/</w:t>
        </w:r>
      </w:hyperlink>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 2 diabetes: Learn More – What medications help in type 2 diabetes? - InformedHealth.org - NCBI, accessed September 2, 2025, </w:t>
      </w:r>
      <w:hyperlink r:id="rId30">
        <w:r w:rsidDel="00000000" w:rsidR="00000000" w:rsidRPr="00000000">
          <w:rPr>
            <w:rFonts w:ascii="Google Sans" w:cs="Google Sans" w:eastAsia="Google Sans" w:hAnsi="Google Sans"/>
            <w:color w:val="0000ee"/>
            <w:sz w:val="24"/>
            <w:szCs w:val="24"/>
            <w:u w:val="single"/>
            <w:rtl w:val="0"/>
          </w:rPr>
          <w:t xml:space="preserve">https://www.ncbi.nlm.nih.gov/books/NBK279506/</w:t>
        </w:r>
      </w:hyperlink>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Medicine Textbooks - Open Textbook Library - Center for Open ..., accessed September 2, 2025, </w:t>
      </w:r>
      <w:hyperlink r:id="rId31">
        <w:r w:rsidDel="00000000" w:rsidR="00000000" w:rsidRPr="00000000">
          <w:rPr>
            <w:rFonts w:ascii="Google Sans" w:cs="Google Sans" w:eastAsia="Google Sans" w:hAnsi="Google Sans"/>
            <w:color w:val="0000ee"/>
            <w:sz w:val="24"/>
            <w:szCs w:val="24"/>
            <w:u w:val="single"/>
            <w:rtl w:val="0"/>
          </w:rPr>
          <w:t xml:space="preserve">https://open.umn.edu/opentextbooks/subjects/medicine</w:t>
        </w:r>
      </w:hyperlink>
      <w:r w:rsidDel="00000000" w:rsidR="00000000" w:rsidRPr="00000000">
        <w:rPr>
          <w:rtl w:val="0"/>
        </w:rPr>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BMJ Open Respiratory Research: Homepage, accessed September 2, 2025, </w:t>
      </w:r>
      <w:hyperlink r:id="rId32">
        <w:r w:rsidDel="00000000" w:rsidR="00000000" w:rsidRPr="00000000">
          <w:rPr>
            <w:rFonts w:ascii="Google Sans" w:cs="Google Sans" w:eastAsia="Google Sans" w:hAnsi="Google Sans"/>
            <w:color w:val="0000ee"/>
            <w:sz w:val="24"/>
            <w:szCs w:val="24"/>
            <w:u w:val="single"/>
            <w:rtl w:val="0"/>
          </w:rPr>
          <w:t xml:space="preserve">https://bmjopenrespres.bmj.com/</w:t>
        </w:r>
      </w:hyperlink>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Advances in Respiratory Medicine | An Open Access Journal from MDPI, accessed September 2, 2025, </w:t>
      </w:r>
      <w:hyperlink r:id="rId33">
        <w:r w:rsidDel="00000000" w:rsidR="00000000" w:rsidRPr="00000000">
          <w:rPr>
            <w:rFonts w:ascii="Google Sans" w:cs="Google Sans" w:eastAsia="Google Sans" w:hAnsi="Google Sans"/>
            <w:color w:val="0000ee"/>
            <w:sz w:val="24"/>
            <w:szCs w:val="24"/>
            <w:u w:val="single"/>
            <w:rtl w:val="0"/>
          </w:rPr>
          <w:t xml:space="preserve">https://www.mdpi.com/journal/arm</w:t>
        </w:r>
      </w:hyperlink>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Open Respiratory Medicine Journal - Home Page, accessed September 2, 2025, </w:t>
      </w:r>
      <w:hyperlink r:id="rId34">
        <w:r w:rsidDel="00000000" w:rsidR="00000000" w:rsidRPr="00000000">
          <w:rPr>
            <w:rFonts w:ascii="Google Sans" w:cs="Google Sans" w:eastAsia="Google Sans" w:hAnsi="Google Sans"/>
            <w:color w:val="0000ee"/>
            <w:sz w:val="24"/>
            <w:szCs w:val="24"/>
            <w:u w:val="single"/>
            <w:rtl w:val="0"/>
          </w:rPr>
          <w:t xml:space="preserve">https://openrespiratorymedicinejournal.com/</w:t>
        </w:r>
      </w:hyperlink>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Greenspan's Basic &amp; Clinical Endocrinology, 10e - AccessMedicine - McGraw Hill Medical, accessed September 2, 2025, </w:t>
      </w:r>
      <w:hyperlink r:id="rId35">
        <w:r w:rsidDel="00000000" w:rsidR="00000000" w:rsidRPr="00000000">
          <w:rPr>
            <w:rFonts w:ascii="Google Sans" w:cs="Google Sans" w:eastAsia="Google Sans" w:hAnsi="Google Sans"/>
            <w:color w:val="0000ee"/>
            <w:sz w:val="24"/>
            <w:szCs w:val="24"/>
            <w:u w:val="single"/>
            <w:rtl w:val="0"/>
          </w:rPr>
          <w:t xml:space="preserve">https://accessmedicine.mhmedical.com/book.aspx?bookid=2178</w:t>
        </w:r>
      </w:hyperlink>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AccessMedicine | McGraw Hill Medical, accessed September 2, 2025, </w:t>
      </w:r>
      <w:hyperlink r:id="rId36">
        <w:r w:rsidDel="00000000" w:rsidR="00000000" w:rsidRPr="00000000">
          <w:rPr>
            <w:rFonts w:ascii="Google Sans" w:cs="Google Sans" w:eastAsia="Google Sans" w:hAnsi="Google Sans"/>
            <w:color w:val="0000ee"/>
            <w:sz w:val="24"/>
            <w:szCs w:val="24"/>
            <w:u w:val="single"/>
            <w:rtl w:val="0"/>
          </w:rPr>
          <w:t xml:space="preserve">https://accessmedicine.mhmedical.com/</w:t>
        </w:r>
      </w:hyperlink>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Endocrinology Books, eBooks &amp; Journals | US Elsevier Health, accessed September 2, 2025, </w:t>
      </w:r>
      <w:hyperlink r:id="rId37">
        <w:r w:rsidDel="00000000" w:rsidR="00000000" w:rsidRPr="00000000">
          <w:rPr>
            <w:rFonts w:ascii="Google Sans" w:cs="Google Sans" w:eastAsia="Google Sans" w:hAnsi="Google Sans"/>
            <w:color w:val="0000ee"/>
            <w:sz w:val="24"/>
            <w:szCs w:val="24"/>
            <w:u w:val="single"/>
            <w:rtl w:val="0"/>
          </w:rPr>
          <w:t xml:space="preserve">https://www.us.elsevierhealth.com/medicine/endocrinology</w:t>
        </w:r>
      </w:hyperlink>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Respiratory Medicine | Subjects - Wiley, accessed September 2, 2025, </w:t>
      </w:r>
      <w:hyperlink r:id="rId38">
        <w:r w:rsidDel="00000000" w:rsidR="00000000" w:rsidRPr="00000000">
          <w:rPr>
            <w:rFonts w:ascii="Google Sans" w:cs="Google Sans" w:eastAsia="Google Sans" w:hAnsi="Google Sans"/>
            <w:color w:val="0000ee"/>
            <w:sz w:val="24"/>
            <w:szCs w:val="24"/>
            <w:u w:val="single"/>
            <w:rtl w:val="0"/>
          </w:rPr>
          <w:t xml:space="preserve">https://www.wiley.com/en-us/Respiratory+Medicine-c-MDQ0</w:t>
        </w:r>
      </w:hyperlink>
      <w:r w:rsidDel="00000000" w:rsidR="00000000" w:rsidRPr="00000000">
        <w:rPr>
          <w:rtl w:val="0"/>
        </w:rPr>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WILLIAMS TEXTBOOK OF ENDOCRINOLOGY - PMC, accessed September 2, 2025, </w:t>
      </w:r>
      <w:hyperlink r:id="rId39">
        <w:r w:rsidDel="00000000" w:rsidR="00000000" w:rsidRPr="00000000">
          <w:rPr>
            <w:rFonts w:ascii="Google Sans" w:cs="Google Sans" w:eastAsia="Google Sans" w:hAnsi="Google Sans"/>
            <w:color w:val="0000ee"/>
            <w:sz w:val="24"/>
            <w:szCs w:val="24"/>
            <w:u w:val="single"/>
            <w:rtl w:val="0"/>
          </w:rPr>
          <w:t xml:space="preserve">https://pmc.ncbi.nlm.nih.gov/articles/PMC6992389/</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pmc.ncbi.nlm.nih.gov/articles/PMC3550231/" TargetMode="External"/><Relationship Id="rId22" Type="http://schemas.openxmlformats.org/officeDocument/2006/relationships/hyperlink" Target="https://pmc.ncbi.nlm.nih.gov/articles/PMC3272333/" TargetMode="External"/><Relationship Id="rId21" Type="http://schemas.openxmlformats.org/officeDocument/2006/relationships/hyperlink" Target="https://pmc.ncbi.nlm.nih.gov/articles/PMC4740163/" TargetMode="External"/><Relationship Id="rId24" Type="http://schemas.openxmlformats.org/officeDocument/2006/relationships/hyperlink" Target="https://pmc.ncbi.nlm.nih.gov/articles/PMC7665158/" TargetMode="External"/><Relationship Id="rId23" Type="http://schemas.openxmlformats.org/officeDocument/2006/relationships/hyperlink" Target="https://pmc.ncbi.nlm.nih.gov/articles/PMC1134127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healthquality.va.gov/guidelines/cd/diabetes/" TargetMode="External"/><Relationship Id="rId26" Type="http://schemas.openxmlformats.org/officeDocument/2006/relationships/hyperlink" Target="https://www.ncbi.nlm.nih.gov/books/NBK22/" TargetMode="External"/><Relationship Id="rId25" Type="http://schemas.openxmlformats.org/officeDocument/2006/relationships/hyperlink" Target="https://www.endotext.org/" TargetMode="External"/><Relationship Id="rId28" Type="http://schemas.openxmlformats.org/officeDocument/2006/relationships/hyperlink" Target="https://www.ncbi.nlm.nih.gov/books/NBK592412/" TargetMode="External"/><Relationship Id="rId27" Type="http://schemas.openxmlformats.org/officeDocument/2006/relationships/hyperlink" Target="https://www.ncbi.nlm.nih.gov/books/NBK279509/" TargetMode="External"/><Relationship Id="rId5" Type="http://schemas.openxmlformats.org/officeDocument/2006/relationships/styles" Target="styles.xml"/><Relationship Id="rId6" Type="http://schemas.openxmlformats.org/officeDocument/2006/relationships/hyperlink" Target="https://professional.diabetes.org/standards-of-care/practice-guidelines-resources" TargetMode="External"/><Relationship Id="rId29" Type="http://schemas.openxmlformats.org/officeDocument/2006/relationships/hyperlink" Target="https://www.ncbi.nlm.nih.gov/books/NBK279510/" TargetMode="External"/><Relationship Id="rId7" Type="http://schemas.openxmlformats.org/officeDocument/2006/relationships/hyperlink" Target="https://pro.aace.com/clinical-guidance/diabetes" TargetMode="External"/><Relationship Id="rId8" Type="http://schemas.openxmlformats.org/officeDocument/2006/relationships/hyperlink" Target="https://guidelines.diabetes.ca/cpg" TargetMode="External"/><Relationship Id="rId31" Type="http://schemas.openxmlformats.org/officeDocument/2006/relationships/hyperlink" Target="https://open.umn.edu/opentextbooks/subjects/medicine" TargetMode="External"/><Relationship Id="rId30" Type="http://schemas.openxmlformats.org/officeDocument/2006/relationships/hyperlink" Target="https://www.ncbi.nlm.nih.gov/books/NBK279506/" TargetMode="External"/><Relationship Id="rId11" Type="http://schemas.openxmlformats.org/officeDocument/2006/relationships/hyperlink" Target="https://pmc.ncbi.nlm.nih.gov/articles/PMC4975132/" TargetMode="External"/><Relationship Id="rId33" Type="http://schemas.openxmlformats.org/officeDocument/2006/relationships/hyperlink" Target="https://www.mdpi.com/journal/arm" TargetMode="External"/><Relationship Id="rId10" Type="http://schemas.openxmlformats.org/officeDocument/2006/relationships/hyperlink" Target="https://professional.diabetes.org/standards-of-care" TargetMode="External"/><Relationship Id="rId32" Type="http://schemas.openxmlformats.org/officeDocument/2006/relationships/hyperlink" Target="https://bmjopenrespres.bmj.com/" TargetMode="External"/><Relationship Id="rId13" Type="http://schemas.openxmlformats.org/officeDocument/2006/relationships/hyperlink" Target="https://www.ncbi.nlm.nih.gov/books/NBK513253/" TargetMode="External"/><Relationship Id="rId35" Type="http://schemas.openxmlformats.org/officeDocument/2006/relationships/hyperlink" Target="https://accessmedicine.mhmedical.com/book.aspx?bookid=2178" TargetMode="External"/><Relationship Id="rId12" Type="http://schemas.openxmlformats.org/officeDocument/2006/relationships/hyperlink" Target="https://www.ncbi.nlm.nih.gov/books/NBK579413/" TargetMode="External"/><Relationship Id="rId34" Type="http://schemas.openxmlformats.org/officeDocument/2006/relationships/hyperlink" Target="https://openrespiratorymedicinejournal.com/" TargetMode="External"/><Relationship Id="rId15" Type="http://schemas.openxmlformats.org/officeDocument/2006/relationships/hyperlink" Target="https://www.who.int/news-room/commentaries/detail/air-pollution--tackling-a-critical-driver-of-the-global-ncd-crisis" TargetMode="External"/><Relationship Id="rId37" Type="http://schemas.openxmlformats.org/officeDocument/2006/relationships/hyperlink" Target="https://www.us.elsevierhealth.com/medicine/endocrinology" TargetMode="External"/><Relationship Id="rId14" Type="http://schemas.openxmlformats.org/officeDocument/2006/relationships/hyperlink" Target="https://www.ncbi.nlm.nih.gov/books/NBK574594/" TargetMode="External"/><Relationship Id="rId36" Type="http://schemas.openxmlformats.org/officeDocument/2006/relationships/hyperlink" Target="https://accessmedicine.mhmedical.com/" TargetMode="External"/><Relationship Id="rId17" Type="http://schemas.openxmlformats.org/officeDocument/2006/relationships/hyperlink" Target="https://www.cdc.gov/air-quality/about/index.html" TargetMode="External"/><Relationship Id="rId39" Type="http://schemas.openxmlformats.org/officeDocument/2006/relationships/hyperlink" Target="https://pmc.ncbi.nlm.nih.gov/articles/PMC6992389/" TargetMode="External"/><Relationship Id="rId16" Type="http://schemas.openxmlformats.org/officeDocument/2006/relationships/hyperlink" Target="https://www.cdc.gov/mmwr/preview/mmwrhtml/00001969.htm" TargetMode="External"/><Relationship Id="rId38" Type="http://schemas.openxmlformats.org/officeDocument/2006/relationships/hyperlink" Target="https://www.wiley.com/en-us/Respiratory+Medicine-c-MDQ0" TargetMode="External"/><Relationship Id="rId19" Type="http://schemas.openxmlformats.org/officeDocument/2006/relationships/hyperlink" Target="https://pmc.ncbi.nlm.nih.gov/articles/PMC7044178/" TargetMode="External"/><Relationship Id="rId18" Type="http://schemas.openxmlformats.org/officeDocument/2006/relationships/hyperlink" Target="https://www.ncbi.nlm.nih.gov/books/NBK36802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